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FA14E">
      <w:pPr>
        <w:spacing w:line="360" w:lineRule="auto"/>
        <w:jc w:val="left"/>
        <w:outlineLvl w:val="0"/>
        <w:rPr>
          <w:sz w:val="32"/>
          <w:szCs w:val="32"/>
        </w:rPr>
      </w:pPr>
      <w:bookmarkStart w:id="0" w:name="_GoBack"/>
      <w:bookmarkEnd w:id="0"/>
      <w:r>
        <w:rPr>
          <w:rStyle w:val="15"/>
        </w:rPr>
        <w:t>附件1</w:t>
      </w:r>
    </w:p>
    <w:p w14:paraId="6EECC023">
      <w:pPr>
        <w:pStyle w:val="3"/>
        <w:bidi w:val="0"/>
        <w:jc w:val="center"/>
      </w:pPr>
      <w:r>
        <w:t>附录1 资格审查条件（资质最低要求）</w:t>
      </w:r>
    </w:p>
    <w:p w14:paraId="75BFC571">
      <w:pPr>
        <w:snapToGrid w:val="0"/>
        <w:spacing w:line="360" w:lineRule="auto"/>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7822"/>
      </w:tblGrid>
      <w:tr w14:paraId="04DE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jc w:val="center"/>
        </w:trPr>
        <w:tc>
          <w:tcPr>
            <w:tcW w:w="788" w:type="pct"/>
            <w:vAlign w:val="center"/>
          </w:tcPr>
          <w:p w14:paraId="61BC3AB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宋体"/>
                <w:lang w:eastAsia="zh-CN"/>
              </w:rPr>
            </w:pPr>
            <w:r>
              <w:rPr>
                <w:rFonts w:hint="eastAsia"/>
                <w:highlight w:val="none"/>
                <w:lang w:val="en-US" w:eastAsia="zh-CN"/>
              </w:rPr>
              <w:t>类别</w:t>
            </w:r>
          </w:p>
        </w:tc>
        <w:tc>
          <w:tcPr>
            <w:tcW w:w="4211" w:type="pct"/>
            <w:vAlign w:val="center"/>
          </w:tcPr>
          <w:p w14:paraId="4D9ED2A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pPr>
            <w:r>
              <w:t>资质要求</w:t>
            </w:r>
          </w:p>
        </w:tc>
      </w:tr>
      <w:tr w14:paraId="1A5F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88" w:type="pct"/>
            <w:vAlign w:val="center"/>
          </w:tcPr>
          <w:p w14:paraId="1909289A">
            <w:pPr>
              <w:spacing w:line="360" w:lineRule="auto"/>
              <w:jc w:val="center"/>
              <w:rPr>
                <w:rFonts w:hint="default" w:eastAsia="宋体"/>
                <w:lang w:val="en-US" w:eastAsia="zh-CN"/>
              </w:rPr>
            </w:pPr>
            <w:r>
              <w:rPr>
                <w:rFonts w:hint="eastAsia"/>
                <w:lang w:val="en-US" w:eastAsia="zh-CN"/>
              </w:rPr>
              <w:t>类别</w:t>
            </w:r>
            <w:r>
              <w:t>1</w:t>
            </w:r>
            <w:r>
              <w:rPr>
                <w:rFonts w:hint="eastAsia"/>
                <w:lang w:val="en-US" w:eastAsia="zh-CN"/>
              </w:rPr>
              <w:t>及类别2</w:t>
            </w:r>
          </w:p>
        </w:tc>
        <w:tc>
          <w:tcPr>
            <w:tcW w:w="4211" w:type="pct"/>
            <w:vAlign w:val="center"/>
          </w:tcPr>
          <w:p w14:paraId="6CE51E1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sz w:val="24"/>
                <w:szCs w:val="24"/>
              </w:rPr>
            </w:pPr>
            <w:r>
              <w:rPr>
                <w:rFonts w:hint="eastAsia" w:ascii="宋体" w:hAnsi="宋体" w:cs="宋体"/>
                <w:sz w:val="24"/>
                <w:szCs w:val="24"/>
              </w:rPr>
              <w:t>申请人须同时具备：</w:t>
            </w:r>
          </w:p>
          <w:p w14:paraId="47397E21">
            <w:pPr>
              <w:pStyle w:val="16"/>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1、自有车辆数量：20辆以上的自卸车（载重量为20-35吨自卸车）。</w:t>
            </w:r>
          </w:p>
          <w:p w14:paraId="3DB7541C">
            <w:pPr>
              <w:pStyle w:val="16"/>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2、</w:t>
            </w:r>
            <w:r>
              <w:rPr>
                <w:rFonts w:hint="eastAsia"/>
                <w:szCs w:val="24"/>
                <w:highlight w:val="none"/>
              </w:rPr>
              <w:t>具备独立的法人资格，具有有效的营业执照</w:t>
            </w:r>
            <w:r>
              <w:rPr>
                <w:rFonts w:hint="eastAsia"/>
                <w:sz w:val="24"/>
                <w:szCs w:val="24"/>
                <w:highlight w:val="none"/>
                <w:lang w:val="en-US" w:eastAsia="zh-CN"/>
              </w:rPr>
              <w:t>。</w:t>
            </w:r>
          </w:p>
          <w:p w14:paraId="25F2946A">
            <w:pPr>
              <w:pStyle w:val="16"/>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sz w:val="24"/>
                <w:szCs w:val="24"/>
                <w:highlight w:val="none"/>
                <w:lang w:val="en-US" w:eastAsia="zh-CN"/>
              </w:rPr>
              <w:t>3、具备有效的《道路运输经营许可证》。</w:t>
            </w:r>
          </w:p>
        </w:tc>
      </w:tr>
    </w:tbl>
    <w:p w14:paraId="01B22068">
      <w:pPr>
        <w:spacing w:line="360" w:lineRule="auto"/>
        <w:rPr>
          <w:sz w:val="28"/>
          <w:szCs w:val="28"/>
        </w:rPr>
      </w:pPr>
    </w:p>
    <w:p w14:paraId="22DB8015">
      <w:pPr>
        <w:spacing w:line="360" w:lineRule="auto"/>
        <w:jc w:val="center"/>
        <w:rPr>
          <w:sz w:val="28"/>
          <w:szCs w:val="28"/>
        </w:rPr>
      </w:pPr>
    </w:p>
    <w:p w14:paraId="024828E8">
      <w:pPr>
        <w:jc w:val="center"/>
        <w:rPr>
          <w:b/>
          <w:bCs/>
          <w:sz w:val="40"/>
          <w:szCs w:val="40"/>
        </w:rPr>
      </w:pPr>
      <w:r>
        <w:rPr>
          <w:sz w:val="28"/>
          <w:szCs w:val="28"/>
        </w:rPr>
        <w:br w:type="page"/>
      </w:r>
      <w:r>
        <w:rPr>
          <w:rFonts w:ascii="Times New Roman" w:hAnsi="Times New Roman" w:eastAsia="宋体" w:cs="Times New Roman"/>
          <w:b/>
          <w:kern w:val="2"/>
          <w:sz w:val="32"/>
          <w:szCs w:val="24"/>
          <w:lang w:val="en-US" w:eastAsia="zh-CN" w:bidi="ar-SA"/>
        </w:rPr>
        <w:t>附</w:t>
      </w:r>
      <w:r>
        <w:rPr>
          <w:rFonts w:hint="eastAsia" w:ascii="Times New Roman" w:hAnsi="Times New Roman" w:eastAsia="宋体" w:cs="Times New Roman"/>
          <w:b/>
          <w:kern w:val="2"/>
          <w:sz w:val="32"/>
          <w:szCs w:val="24"/>
          <w:lang w:val="en-US" w:eastAsia="zh-CN" w:bidi="ar-SA"/>
        </w:rPr>
        <w:t>录</w:t>
      </w:r>
      <w:r>
        <w:rPr>
          <w:rFonts w:ascii="Times New Roman" w:hAnsi="Times New Roman" w:eastAsia="宋体" w:cs="Times New Roman"/>
          <w:b/>
          <w:kern w:val="2"/>
          <w:sz w:val="32"/>
          <w:szCs w:val="24"/>
          <w:lang w:val="en-US" w:eastAsia="zh-CN" w:bidi="ar-SA"/>
        </w:rPr>
        <w:t>2 资格审查条件（财务最低要求）</w:t>
      </w:r>
    </w:p>
    <w:p w14:paraId="77338DB8">
      <w:pPr>
        <w:pStyle w:val="10"/>
        <w:spacing w:after="0" w:line="360" w:lineRule="auto"/>
        <w:ind w:left="480" w:firstLine="480"/>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7916"/>
      </w:tblGrid>
      <w:tr w14:paraId="40B7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70" w:type="dxa"/>
            <w:vAlign w:val="center"/>
          </w:tcPr>
          <w:p w14:paraId="4264B49F">
            <w:pPr>
              <w:keepNext w:val="0"/>
              <w:keepLines w:val="0"/>
              <w:pageBreakBefore w:val="0"/>
              <w:kinsoku/>
              <w:wordWrap/>
              <w:overflowPunct/>
              <w:topLinePunct w:val="0"/>
              <w:autoSpaceDE/>
              <w:autoSpaceDN/>
              <w:bidi w:val="0"/>
              <w:adjustRightInd/>
              <w:snapToGrid w:val="0"/>
              <w:spacing w:line="440" w:lineRule="exact"/>
              <w:jc w:val="center"/>
              <w:textAlignment w:val="auto"/>
              <w:rPr>
                <w:sz w:val="28"/>
                <w:szCs w:val="28"/>
              </w:rPr>
            </w:pPr>
            <w:r>
              <w:rPr>
                <w:rFonts w:hint="eastAsia"/>
                <w:lang w:val="en-US" w:eastAsia="zh-CN"/>
              </w:rPr>
              <w:t>类别</w:t>
            </w:r>
          </w:p>
        </w:tc>
        <w:tc>
          <w:tcPr>
            <w:tcW w:w="7916" w:type="dxa"/>
            <w:vAlign w:val="center"/>
          </w:tcPr>
          <w:p w14:paraId="5379D9DF">
            <w:pPr>
              <w:keepNext w:val="0"/>
              <w:keepLines w:val="0"/>
              <w:pageBreakBefore w:val="0"/>
              <w:kinsoku/>
              <w:wordWrap/>
              <w:overflowPunct/>
              <w:topLinePunct w:val="0"/>
              <w:autoSpaceDE/>
              <w:autoSpaceDN/>
              <w:bidi w:val="0"/>
              <w:adjustRightInd/>
              <w:snapToGrid w:val="0"/>
              <w:spacing w:line="440" w:lineRule="exact"/>
              <w:jc w:val="center"/>
              <w:textAlignment w:val="auto"/>
              <w:rPr>
                <w:sz w:val="28"/>
                <w:szCs w:val="28"/>
              </w:rPr>
            </w:pPr>
            <w:r>
              <w:rPr>
                <w:sz w:val="28"/>
                <w:szCs w:val="28"/>
              </w:rPr>
              <w:t>财务要求</w:t>
            </w:r>
          </w:p>
        </w:tc>
      </w:tr>
      <w:tr w14:paraId="35BF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70" w:type="dxa"/>
            <w:vAlign w:val="center"/>
          </w:tcPr>
          <w:p w14:paraId="17004E41">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eastAsia="宋体"/>
                <w:sz w:val="24"/>
                <w:szCs w:val="24"/>
                <w:lang w:val="en-US" w:eastAsia="zh-CN"/>
              </w:rPr>
            </w:pPr>
            <w:r>
              <w:rPr>
                <w:rFonts w:hint="eastAsia"/>
                <w:lang w:val="en-US" w:eastAsia="zh-CN"/>
              </w:rPr>
              <w:t>类别</w:t>
            </w:r>
            <w:r>
              <w:t>1</w:t>
            </w:r>
            <w:r>
              <w:rPr>
                <w:rFonts w:hint="eastAsia"/>
                <w:lang w:val="en-US" w:eastAsia="zh-CN"/>
              </w:rPr>
              <w:t>及类别2</w:t>
            </w:r>
          </w:p>
        </w:tc>
        <w:tc>
          <w:tcPr>
            <w:tcW w:w="7916" w:type="dxa"/>
            <w:vAlign w:val="center"/>
          </w:tcPr>
          <w:p w14:paraId="306DA770">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eastAsia="宋体"/>
                <w:color w:val="000000"/>
                <w:kern w:val="0"/>
                <w:sz w:val="24"/>
                <w:szCs w:val="24"/>
                <w:lang w:eastAsia="zh-CN" w:bidi="ar"/>
              </w:rPr>
            </w:pPr>
            <w:r>
              <w:rPr>
                <w:color w:val="000000"/>
                <w:kern w:val="0"/>
                <w:sz w:val="24"/>
                <w:szCs w:val="24"/>
                <w:lang w:bidi="ar"/>
              </w:rPr>
              <w:t>第一种方式</w:t>
            </w:r>
            <w:r>
              <w:rPr>
                <w:rFonts w:hint="eastAsia"/>
                <w:color w:val="000000"/>
                <w:kern w:val="0"/>
                <w:sz w:val="24"/>
                <w:szCs w:val="24"/>
                <w:lang w:eastAsia="zh-CN" w:bidi="ar"/>
              </w:rPr>
              <w:t>：</w:t>
            </w:r>
          </w:p>
          <w:p w14:paraId="2B314877">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eastAsia="宋体"/>
                <w:color w:val="000000"/>
                <w:kern w:val="0"/>
                <w:sz w:val="24"/>
                <w:szCs w:val="24"/>
                <w:highlight w:val="none"/>
                <w:lang w:eastAsia="zh-CN" w:bidi="ar"/>
              </w:rPr>
            </w:pPr>
            <w:r>
              <w:rPr>
                <w:color w:val="000000"/>
                <w:kern w:val="0"/>
                <w:sz w:val="24"/>
                <w:szCs w:val="24"/>
                <w:highlight w:val="none"/>
                <w:lang w:bidi="ar"/>
              </w:rPr>
              <w:t>近三年每年的</w:t>
            </w:r>
            <w:r>
              <w:rPr>
                <w:b/>
                <w:bCs/>
                <w:color w:val="000000"/>
                <w:kern w:val="0"/>
                <w:sz w:val="24"/>
                <w:szCs w:val="24"/>
                <w:highlight w:val="none"/>
                <w:lang w:bidi="ar"/>
              </w:rPr>
              <w:t>营业收入</w:t>
            </w:r>
            <w:r>
              <w:rPr>
                <w:color w:val="000000"/>
                <w:kern w:val="0"/>
                <w:sz w:val="24"/>
                <w:szCs w:val="24"/>
                <w:highlight w:val="none"/>
                <w:lang w:bidi="ar"/>
              </w:rPr>
              <w:t>不少于</w:t>
            </w:r>
            <w:r>
              <w:rPr>
                <w:rFonts w:hint="eastAsia"/>
                <w:color w:val="000000"/>
                <w:kern w:val="0"/>
                <w:sz w:val="24"/>
                <w:szCs w:val="24"/>
                <w:highlight w:val="none"/>
                <w:lang w:bidi="ar"/>
              </w:rPr>
              <w:t>1000</w:t>
            </w:r>
            <w:r>
              <w:rPr>
                <w:color w:val="000000"/>
                <w:kern w:val="0"/>
                <w:sz w:val="24"/>
                <w:szCs w:val="24"/>
                <w:highlight w:val="none"/>
                <w:lang w:bidi="ar"/>
              </w:rPr>
              <w:t>万元。</w:t>
            </w:r>
          </w:p>
          <w:p w14:paraId="43429F6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eastAsia="宋体"/>
                <w:color w:val="000000"/>
                <w:kern w:val="0"/>
                <w:sz w:val="24"/>
                <w:szCs w:val="24"/>
                <w:lang w:val="en-US" w:eastAsia="zh-CN" w:bidi="ar"/>
              </w:rPr>
            </w:pPr>
            <w:r>
              <w:rPr>
                <w:color w:val="000000"/>
                <w:kern w:val="0"/>
                <w:sz w:val="24"/>
                <w:szCs w:val="24"/>
                <w:lang w:bidi="ar"/>
              </w:rPr>
              <w:t>第二种方式</w:t>
            </w:r>
            <w:r>
              <w:rPr>
                <w:rFonts w:hint="eastAsia"/>
                <w:color w:val="000000"/>
                <w:kern w:val="0"/>
                <w:sz w:val="24"/>
                <w:szCs w:val="24"/>
                <w:lang w:eastAsia="zh-CN" w:bidi="ar"/>
              </w:rPr>
              <w:t>：</w:t>
            </w:r>
          </w:p>
          <w:p w14:paraId="4775D3F0">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eastAsia="宋体"/>
                <w:color w:val="000000"/>
                <w:kern w:val="0"/>
                <w:sz w:val="24"/>
                <w:szCs w:val="24"/>
                <w:lang w:eastAsia="zh-CN" w:bidi="ar"/>
              </w:rPr>
            </w:pPr>
            <w:r>
              <w:rPr>
                <w:color w:val="000000"/>
                <w:kern w:val="0"/>
                <w:sz w:val="24"/>
                <w:szCs w:val="24"/>
                <w:lang w:bidi="ar"/>
              </w:rPr>
              <w:t>由银行出具</w:t>
            </w:r>
            <w:r>
              <w:rPr>
                <w:b/>
                <w:bCs/>
                <w:color w:val="000000"/>
                <w:kern w:val="0"/>
                <w:sz w:val="24"/>
                <w:szCs w:val="24"/>
                <w:lang w:bidi="ar"/>
              </w:rPr>
              <w:t>（须有银行盖章）</w:t>
            </w:r>
            <w:r>
              <w:rPr>
                <w:color w:val="000000"/>
                <w:kern w:val="0"/>
                <w:sz w:val="24"/>
                <w:szCs w:val="24"/>
                <w:lang w:bidi="ar"/>
              </w:rPr>
              <w:t>申请日前3个月内（</w:t>
            </w:r>
            <w:r>
              <w:rPr>
                <w:rFonts w:hint="eastAsia"/>
                <w:b/>
                <w:bCs/>
                <w:color w:val="000000"/>
                <w:kern w:val="0"/>
                <w:sz w:val="24"/>
                <w:szCs w:val="24"/>
                <w:lang w:eastAsia="zh-CN" w:bidi="ar"/>
              </w:rPr>
              <w:t>202</w:t>
            </w:r>
            <w:r>
              <w:rPr>
                <w:rFonts w:hint="eastAsia"/>
                <w:b/>
                <w:bCs/>
                <w:color w:val="000000"/>
                <w:kern w:val="0"/>
                <w:sz w:val="24"/>
                <w:szCs w:val="24"/>
                <w:lang w:val="en-US" w:eastAsia="zh-CN" w:bidi="ar"/>
              </w:rPr>
              <w:t>4</w:t>
            </w:r>
            <w:r>
              <w:rPr>
                <w:b/>
                <w:bCs/>
                <w:color w:val="000000"/>
                <w:kern w:val="0"/>
                <w:sz w:val="24"/>
                <w:szCs w:val="24"/>
                <w:lang w:bidi="ar"/>
              </w:rPr>
              <w:t>年</w:t>
            </w:r>
            <w:r>
              <w:rPr>
                <w:rFonts w:hint="eastAsia"/>
                <w:b/>
                <w:bCs/>
                <w:color w:val="000000"/>
                <w:kern w:val="0"/>
                <w:sz w:val="24"/>
                <w:szCs w:val="24"/>
                <w:lang w:val="en-US" w:eastAsia="zh-CN" w:bidi="ar"/>
              </w:rPr>
              <w:t>4</w:t>
            </w:r>
            <w:r>
              <w:rPr>
                <w:rFonts w:hint="eastAsia"/>
                <w:b/>
                <w:bCs/>
                <w:color w:val="000000"/>
                <w:kern w:val="0"/>
                <w:sz w:val="24"/>
                <w:szCs w:val="24"/>
                <w:lang w:bidi="ar"/>
              </w:rPr>
              <w:t>月</w:t>
            </w:r>
            <w:r>
              <w:rPr>
                <w:b/>
                <w:bCs/>
                <w:color w:val="000000"/>
                <w:kern w:val="0"/>
                <w:sz w:val="24"/>
                <w:szCs w:val="24"/>
                <w:lang w:bidi="ar"/>
              </w:rPr>
              <w:t>、</w:t>
            </w:r>
            <w:r>
              <w:rPr>
                <w:rFonts w:hint="eastAsia"/>
                <w:b/>
                <w:bCs/>
                <w:color w:val="000000"/>
                <w:kern w:val="0"/>
                <w:sz w:val="24"/>
                <w:szCs w:val="24"/>
                <w:lang w:eastAsia="zh-CN" w:bidi="ar"/>
              </w:rPr>
              <w:t>202</w:t>
            </w:r>
            <w:r>
              <w:rPr>
                <w:rFonts w:hint="eastAsia"/>
                <w:b/>
                <w:bCs/>
                <w:color w:val="000000"/>
                <w:kern w:val="0"/>
                <w:sz w:val="24"/>
                <w:szCs w:val="24"/>
                <w:lang w:val="en-US" w:eastAsia="zh-CN" w:bidi="ar"/>
              </w:rPr>
              <w:t>4</w:t>
            </w:r>
            <w:r>
              <w:rPr>
                <w:b/>
                <w:bCs/>
                <w:color w:val="000000"/>
                <w:kern w:val="0"/>
                <w:sz w:val="24"/>
                <w:szCs w:val="24"/>
                <w:lang w:bidi="ar"/>
              </w:rPr>
              <w:t>年</w:t>
            </w:r>
            <w:r>
              <w:rPr>
                <w:rFonts w:hint="eastAsia"/>
                <w:b/>
                <w:bCs/>
                <w:color w:val="000000"/>
                <w:kern w:val="0"/>
                <w:sz w:val="24"/>
                <w:szCs w:val="24"/>
                <w:lang w:val="en-US" w:eastAsia="zh-CN" w:bidi="ar"/>
              </w:rPr>
              <w:t>5</w:t>
            </w:r>
            <w:r>
              <w:rPr>
                <w:b/>
                <w:bCs/>
                <w:color w:val="000000"/>
                <w:kern w:val="0"/>
                <w:sz w:val="24"/>
                <w:szCs w:val="24"/>
                <w:lang w:bidi="ar"/>
              </w:rPr>
              <w:t>月、</w:t>
            </w:r>
            <w:r>
              <w:rPr>
                <w:rFonts w:hint="eastAsia"/>
                <w:b/>
                <w:bCs/>
                <w:color w:val="000000"/>
                <w:kern w:val="0"/>
                <w:sz w:val="24"/>
                <w:szCs w:val="24"/>
                <w:lang w:eastAsia="zh-CN" w:bidi="ar"/>
              </w:rPr>
              <w:t>202</w:t>
            </w:r>
            <w:r>
              <w:rPr>
                <w:rFonts w:hint="eastAsia"/>
                <w:b/>
                <w:bCs/>
                <w:color w:val="000000"/>
                <w:kern w:val="0"/>
                <w:sz w:val="24"/>
                <w:szCs w:val="24"/>
                <w:lang w:val="en-US" w:eastAsia="zh-CN" w:bidi="ar"/>
              </w:rPr>
              <w:t>4</w:t>
            </w:r>
            <w:r>
              <w:rPr>
                <w:b/>
                <w:bCs/>
                <w:color w:val="000000"/>
                <w:kern w:val="0"/>
                <w:sz w:val="24"/>
                <w:szCs w:val="24"/>
                <w:lang w:bidi="ar"/>
              </w:rPr>
              <w:t>年</w:t>
            </w:r>
            <w:r>
              <w:rPr>
                <w:rFonts w:hint="eastAsia"/>
                <w:b/>
                <w:bCs/>
                <w:color w:val="000000"/>
                <w:kern w:val="0"/>
                <w:sz w:val="24"/>
                <w:szCs w:val="24"/>
                <w:lang w:val="en-US" w:eastAsia="zh-CN" w:bidi="ar"/>
              </w:rPr>
              <w:t>6</w:t>
            </w:r>
            <w:r>
              <w:rPr>
                <w:b/>
                <w:bCs/>
                <w:color w:val="000000"/>
                <w:kern w:val="0"/>
                <w:sz w:val="24"/>
                <w:szCs w:val="24"/>
                <w:lang w:bidi="ar"/>
              </w:rPr>
              <w:t>月</w:t>
            </w:r>
            <w:r>
              <w:rPr>
                <w:color w:val="000000"/>
                <w:kern w:val="0"/>
                <w:sz w:val="24"/>
                <w:szCs w:val="24"/>
                <w:lang w:bidi="ar"/>
              </w:rPr>
              <w:t>）的单位账户流水证明，每月月末账户余额平均值不少于</w:t>
            </w:r>
            <w:r>
              <w:rPr>
                <w:rFonts w:hint="eastAsia"/>
                <w:color w:val="000000"/>
                <w:kern w:val="0"/>
                <w:sz w:val="24"/>
                <w:szCs w:val="24"/>
                <w:lang w:bidi="ar"/>
              </w:rPr>
              <w:t>3</w:t>
            </w:r>
            <w:r>
              <w:rPr>
                <w:rFonts w:hint="eastAsia"/>
                <w:color w:val="000000"/>
                <w:kern w:val="0"/>
                <w:sz w:val="24"/>
                <w:szCs w:val="24"/>
                <w:lang w:val="en-US" w:eastAsia="zh-CN" w:bidi="ar"/>
              </w:rPr>
              <w:t>5</w:t>
            </w:r>
            <w:r>
              <w:rPr>
                <w:color w:val="000000"/>
                <w:kern w:val="0"/>
                <w:sz w:val="24"/>
                <w:szCs w:val="24"/>
                <w:lang w:bidi="ar"/>
              </w:rPr>
              <w:t>万元。</w:t>
            </w:r>
          </w:p>
          <w:p w14:paraId="4A966F07">
            <w:pPr>
              <w:keepNext w:val="0"/>
              <w:keepLines w:val="0"/>
              <w:pageBreakBefore w:val="0"/>
              <w:widowControl/>
              <w:kinsoku/>
              <w:wordWrap/>
              <w:overflowPunct/>
              <w:topLinePunct w:val="0"/>
              <w:autoSpaceDE/>
              <w:autoSpaceDN/>
              <w:bidi w:val="0"/>
              <w:adjustRightInd/>
              <w:snapToGrid/>
              <w:spacing w:line="440" w:lineRule="exact"/>
              <w:textAlignment w:val="auto"/>
              <w:rPr>
                <w:sz w:val="24"/>
                <w:szCs w:val="24"/>
              </w:rPr>
            </w:pPr>
            <w:r>
              <w:rPr>
                <w:b/>
                <w:bCs/>
                <w:color w:val="000000"/>
                <w:kern w:val="0"/>
                <w:sz w:val="24"/>
                <w:szCs w:val="24"/>
                <w:lang w:bidi="ar"/>
              </w:rPr>
              <w:t>上述两种方式满足其中一种即可。</w:t>
            </w:r>
          </w:p>
        </w:tc>
      </w:tr>
    </w:tbl>
    <w:p w14:paraId="279BACFA">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20" w:firstLineChars="200"/>
        <w:textAlignment w:val="auto"/>
        <w:rPr>
          <w:rFonts w:eastAsia="黑体"/>
          <w:sz w:val="21"/>
        </w:rPr>
      </w:pPr>
      <w:r>
        <w:rPr>
          <w:rFonts w:eastAsia="黑体"/>
          <w:sz w:val="21"/>
        </w:rPr>
        <w:t>注：1</w:t>
      </w:r>
      <w:r>
        <w:rPr>
          <w:rFonts w:hint="eastAsia" w:eastAsia="黑体"/>
          <w:sz w:val="21"/>
          <w:lang w:val="en-US" w:eastAsia="zh-CN"/>
        </w:rPr>
        <w:t>.</w:t>
      </w:r>
      <w:r>
        <w:rPr>
          <w:rFonts w:eastAsia="黑体"/>
          <w:sz w:val="21"/>
        </w:rPr>
        <w:t>采用第一种方式应附经会计师事务所或审计机构审计的财务会计报表，</w:t>
      </w:r>
      <w:r>
        <w:rPr>
          <w:rFonts w:hint="eastAsia" w:eastAsia="黑体"/>
          <w:sz w:val="21"/>
        </w:rPr>
        <w:t>其所附资料只需证明其能满足财务最低要求即可。</w:t>
      </w:r>
      <w:r>
        <w:rPr>
          <w:rFonts w:eastAsia="黑体"/>
          <w:sz w:val="21"/>
        </w:rPr>
        <w:t>公司成立时间不足三年的提供成立以来的经会计师事务所或审计机构审计的财务会计报表。若最近年度会计报表未出，则近三年时间往前推算一年。</w:t>
      </w:r>
    </w:p>
    <w:p w14:paraId="788A84BA">
      <w:pPr>
        <w:pStyle w:val="17"/>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eastAsia="黑体"/>
        </w:rPr>
      </w:pPr>
      <w:r>
        <w:rPr>
          <w:rFonts w:eastAsia="黑体"/>
        </w:rPr>
        <w:t>2.采用第二种方式应附银行出具（须银行盖章）申请日前3个月内的单位账户流水证明。</w:t>
      </w:r>
    </w:p>
    <w:p w14:paraId="316529C8">
      <w:pPr>
        <w:snapToGrid w:val="0"/>
        <w:spacing w:line="360" w:lineRule="auto"/>
        <w:ind w:firstLine="960" w:firstLineChars="400"/>
        <w:rPr>
          <w:rFonts w:eastAsia="黑体"/>
        </w:rPr>
      </w:pPr>
    </w:p>
    <w:p w14:paraId="739D7C57">
      <w:pPr>
        <w:snapToGrid w:val="0"/>
        <w:spacing w:line="360" w:lineRule="auto"/>
        <w:jc w:val="center"/>
        <w:rPr>
          <w:sz w:val="40"/>
          <w:szCs w:val="40"/>
        </w:rPr>
      </w:pPr>
      <w:r>
        <w:rPr>
          <w:sz w:val="28"/>
          <w:szCs w:val="28"/>
        </w:rPr>
        <w:br w:type="page"/>
      </w:r>
      <w:r>
        <w:rPr>
          <w:rStyle w:val="15"/>
        </w:rPr>
        <w:t>附</w:t>
      </w:r>
      <w:r>
        <w:rPr>
          <w:rStyle w:val="15"/>
          <w:rFonts w:hint="eastAsia"/>
          <w:lang w:val="en-US" w:eastAsia="zh-CN"/>
        </w:rPr>
        <w:t>录</w:t>
      </w:r>
      <w:r>
        <w:rPr>
          <w:rStyle w:val="15"/>
        </w:rPr>
        <w:t>3 资格审查条件（业绩最低要求）</w:t>
      </w:r>
    </w:p>
    <w:p w14:paraId="39007EAC">
      <w:pPr>
        <w:snapToGrid w:val="0"/>
        <w:spacing w:line="360" w:lineRule="auto"/>
        <w:jc w:val="center"/>
        <w:rPr>
          <w:rFonts w:eastAsia="黑体"/>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873"/>
      </w:tblGrid>
      <w:tr w14:paraId="685E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269" w:type="dxa"/>
            <w:vAlign w:val="center"/>
          </w:tcPr>
          <w:p w14:paraId="35D91A4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sz w:val="28"/>
                <w:szCs w:val="28"/>
              </w:rPr>
            </w:pPr>
            <w:r>
              <w:rPr>
                <w:rFonts w:hint="eastAsia"/>
                <w:lang w:val="en-US" w:eastAsia="zh-CN"/>
              </w:rPr>
              <w:t>类别</w:t>
            </w:r>
          </w:p>
        </w:tc>
        <w:tc>
          <w:tcPr>
            <w:tcW w:w="7073" w:type="dxa"/>
            <w:vAlign w:val="center"/>
          </w:tcPr>
          <w:p w14:paraId="78C2B1D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sz w:val="28"/>
                <w:szCs w:val="28"/>
              </w:rPr>
            </w:pPr>
            <w:r>
              <w:rPr>
                <w:sz w:val="28"/>
                <w:szCs w:val="28"/>
              </w:rPr>
              <w:t>业绩要求</w:t>
            </w:r>
          </w:p>
        </w:tc>
      </w:tr>
      <w:tr w14:paraId="4F3B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69" w:type="dxa"/>
            <w:vAlign w:val="center"/>
          </w:tcPr>
          <w:p w14:paraId="0E870517">
            <w:pPr>
              <w:spacing w:line="360" w:lineRule="auto"/>
              <w:jc w:val="center"/>
              <w:rPr>
                <w:rFonts w:hint="default"/>
                <w:lang w:val="en-US"/>
              </w:rPr>
            </w:pPr>
            <w:r>
              <w:rPr>
                <w:rFonts w:hint="eastAsia"/>
                <w:lang w:val="en-US" w:eastAsia="zh-CN"/>
              </w:rPr>
              <w:t>类别1</w:t>
            </w:r>
          </w:p>
        </w:tc>
        <w:tc>
          <w:tcPr>
            <w:tcW w:w="7073" w:type="dxa"/>
            <w:vAlign w:val="center"/>
          </w:tcPr>
          <w:p w14:paraId="62ACEB5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sz w:val="24"/>
                <w:szCs w:val="24"/>
                <w:highlight w:val="none"/>
                <w:lang w:val="en-US" w:eastAsia="zh-CN"/>
              </w:rPr>
              <w:t>1、近3年（2021年1月1日至申请截止日）承担过</w:t>
            </w:r>
            <w:r>
              <w:rPr>
                <w:rFonts w:hint="eastAsia"/>
                <w:b/>
                <w:bCs/>
                <w:sz w:val="24"/>
                <w:szCs w:val="24"/>
                <w:highlight w:val="none"/>
                <w:lang w:val="en-US" w:eastAsia="zh-CN"/>
              </w:rPr>
              <w:t>单个合同金额500万元以上或3个合同累计金额1000万元以上砂石料运输服务业绩</w:t>
            </w:r>
            <w:r>
              <w:rPr>
                <w:rFonts w:hint="eastAsia"/>
                <w:sz w:val="24"/>
                <w:szCs w:val="24"/>
                <w:highlight w:val="none"/>
                <w:lang w:val="en-US" w:eastAsia="zh-CN"/>
              </w:rPr>
              <w:t>（提供合同协议书等有效证明文件）</w:t>
            </w:r>
            <w:r>
              <w:rPr>
                <w:rFonts w:hint="eastAsia" w:ascii="宋体" w:hAnsi="宋体" w:cs="宋体"/>
                <w:sz w:val="24"/>
                <w:szCs w:val="24"/>
                <w:highlight w:val="none"/>
                <w:lang w:eastAsia="zh-CN"/>
              </w:rPr>
              <w:t>。</w:t>
            </w:r>
          </w:p>
        </w:tc>
      </w:tr>
      <w:tr w14:paraId="3748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69" w:type="dxa"/>
            <w:vAlign w:val="center"/>
          </w:tcPr>
          <w:p w14:paraId="33011DBB">
            <w:pPr>
              <w:spacing w:line="360" w:lineRule="auto"/>
              <w:jc w:val="center"/>
              <w:rPr>
                <w:rFonts w:hint="default"/>
                <w:lang w:val="en-US"/>
              </w:rPr>
            </w:pPr>
            <w:r>
              <w:rPr>
                <w:rFonts w:hint="eastAsia"/>
                <w:lang w:val="en-US" w:eastAsia="zh-CN"/>
              </w:rPr>
              <w:t>类别2</w:t>
            </w:r>
          </w:p>
        </w:tc>
        <w:tc>
          <w:tcPr>
            <w:tcW w:w="7073" w:type="dxa"/>
            <w:vAlign w:val="center"/>
          </w:tcPr>
          <w:p w14:paraId="507C42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highlight w:val="none"/>
                <w:lang w:val="en-US" w:eastAsia="zh-CN"/>
              </w:rPr>
            </w:pPr>
            <w:r>
              <w:rPr>
                <w:rFonts w:hint="eastAsia"/>
                <w:highlight w:val="none"/>
              </w:rPr>
              <w:t>需同时满足：</w:t>
            </w:r>
          </w:p>
          <w:p w14:paraId="75265F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highlight w:val="none"/>
                <w:lang w:eastAsia="zh-CN"/>
              </w:rPr>
            </w:pPr>
            <w:r>
              <w:rPr>
                <w:rFonts w:hint="eastAsia"/>
                <w:sz w:val="24"/>
                <w:szCs w:val="24"/>
                <w:highlight w:val="none"/>
                <w:lang w:val="en-US" w:eastAsia="zh-CN"/>
              </w:rPr>
              <w:t>1、近3年（2021年1月1日至申请截止日）承担过</w:t>
            </w:r>
            <w:r>
              <w:rPr>
                <w:rFonts w:hint="eastAsia"/>
                <w:b/>
                <w:bCs/>
                <w:sz w:val="24"/>
                <w:szCs w:val="24"/>
                <w:highlight w:val="none"/>
                <w:lang w:val="en-US" w:eastAsia="zh-CN"/>
              </w:rPr>
              <w:t>单个合同金额500万元以上或3个合同累计金额1000万元以上砂石料运输服务业绩</w:t>
            </w:r>
            <w:r>
              <w:rPr>
                <w:rFonts w:hint="eastAsia"/>
                <w:sz w:val="24"/>
                <w:szCs w:val="24"/>
                <w:highlight w:val="none"/>
                <w:lang w:val="en-US" w:eastAsia="zh-CN"/>
              </w:rPr>
              <w:t>（提供合同协议书等有效证明文件）</w:t>
            </w:r>
            <w:r>
              <w:rPr>
                <w:rFonts w:hint="eastAsia" w:ascii="宋体" w:hAnsi="宋体" w:cs="宋体"/>
                <w:sz w:val="24"/>
                <w:szCs w:val="24"/>
                <w:highlight w:val="none"/>
                <w:lang w:eastAsia="zh-CN"/>
              </w:rPr>
              <w:t>。</w:t>
            </w:r>
          </w:p>
          <w:p w14:paraId="3CE11194">
            <w:pPr>
              <w:pStyle w:val="10"/>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rFonts w:hint="eastAsia"/>
                <w:sz w:val="24"/>
                <w:szCs w:val="24"/>
                <w:highlight w:val="none"/>
                <w:lang w:val="en-US" w:eastAsia="zh-CN"/>
              </w:rPr>
              <w:t>2、近3年承担过</w:t>
            </w:r>
            <w:r>
              <w:rPr>
                <w:rFonts w:hint="eastAsia"/>
                <w:b/>
                <w:bCs/>
                <w:sz w:val="24"/>
                <w:szCs w:val="24"/>
                <w:highlight w:val="none"/>
                <w:lang w:val="en-US" w:eastAsia="zh-CN"/>
              </w:rPr>
              <w:t>一个合同额300万元以上的山区高速公路砂石料运输服务业绩</w:t>
            </w:r>
            <w:r>
              <w:rPr>
                <w:rFonts w:hint="eastAsia"/>
                <w:sz w:val="24"/>
                <w:szCs w:val="24"/>
                <w:highlight w:val="none"/>
                <w:lang w:val="en-US" w:eastAsia="zh-CN"/>
              </w:rPr>
              <w:t>。</w:t>
            </w:r>
          </w:p>
        </w:tc>
      </w:tr>
    </w:tbl>
    <w:p w14:paraId="48DA74F8">
      <w:pPr>
        <w:pStyle w:val="17"/>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eastAsia="黑体"/>
          <w:kern w:val="0"/>
        </w:rPr>
      </w:pPr>
      <w:r>
        <w:rPr>
          <w:rFonts w:eastAsia="黑体"/>
          <w:kern w:val="0"/>
        </w:rPr>
        <w:t>注：1.申请人应填写近3年来承担的类似项目业绩，并提供</w:t>
      </w:r>
      <w:r>
        <w:rPr>
          <w:rFonts w:hint="eastAsia" w:eastAsia="黑体"/>
          <w:kern w:val="0"/>
        </w:rPr>
        <w:t>相关证明资料，</w:t>
      </w:r>
      <w:r>
        <w:rPr>
          <w:rFonts w:hint="eastAsia" w:eastAsia="黑体" w:cs="Times New Roman"/>
          <w:b w:val="0"/>
          <w:bCs w:val="0"/>
          <w:color w:val="auto"/>
          <w:kern w:val="0"/>
          <w:sz w:val="21"/>
          <w:szCs w:val="21"/>
          <w:highlight w:val="none"/>
          <w:lang w:val="en-US" w:eastAsia="zh-CN"/>
        </w:rPr>
        <w:t>如合同协议书扫描件，若合同协议书无法显示业绩最低要求数据，也可同时提供其相应合同的经业主签字盖章的结算资料。</w:t>
      </w:r>
    </w:p>
    <w:p w14:paraId="3FA74B7F">
      <w:pPr>
        <w:spacing w:line="360" w:lineRule="auto"/>
        <w:jc w:val="center"/>
        <w:rPr>
          <w:b/>
          <w:bCs/>
          <w:sz w:val="40"/>
          <w:szCs w:val="40"/>
        </w:rPr>
      </w:pPr>
      <w:r>
        <w:rPr>
          <w:sz w:val="28"/>
          <w:szCs w:val="28"/>
        </w:rPr>
        <w:br w:type="page"/>
      </w:r>
      <w:r>
        <w:rPr>
          <w:rStyle w:val="15"/>
        </w:rPr>
        <w:t>附录4 资格审查条件(信誉最低要求)</w:t>
      </w:r>
    </w:p>
    <w:p w14:paraId="52A6D804">
      <w:pPr>
        <w:snapToGrid w:val="0"/>
        <w:spacing w:line="360" w:lineRule="auto"/>
        <w:rPr>
          <w:bCs/>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873"/>
      </w:tblGrid>
      <w:tr w14:paraId="1692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vAlign w:val="center"/>
          </w:tcPr>
          <w:p w14:paraId="621F44FF">
            <w:pPr>
              <w:snapToGrid w:val="0"/>
              <w:spacing w:line="360" w:lineRule="auto"/>
              <w:jc w:val="center"/>
              <w:rPr>
                <w:sz w:val="28"/>
                <w:szCs w:val="28"/>
              </w:rPr>
            </w:pPr>
            <w:r>
              <w:rPr>
                <w:rFonts w:hint="eastAsia"/>
                <w:highlight w:val="none"/>
                <w:lang w:val="en-US" w:eastAsia="zh-CN"/>
              </w:rPr>
              <w:t>类别</w:t>
            </w:r>
          </w:p>
        </w:tc>
        <w:tc>
          <w:tcPr>
            <w:tcW w:w="7073" w:type="dxa"/>
            <w:vAlign w:val="center"/>
          </w:tcPr>
          <w:p w14:paraId="7148989C">
            <w:pPr>
              <w:snapToGrid w:val="0"/>
              <w:spacing w:line="360" w:lineRule="auto"/>
              <w:jc w:val="center"/>
              <w:rPr>
                <w:sz w:val="28"/>
                <w:szCs w:val="28"/>
              </w:rPr>
            </w:pPr>
            <w:r>
              <w:rPr>
                <w:sz w:val="28"/>
                <w:szCs w:val="28"/>
              </w:rPr>
              <w:t>信誉要求</w:t>
            </w:r>
          </w:p>
        </w:tc>
      </w:tr>
      <w:tr w14:paraId="4ADC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vAlign w:val="center"/>
          </w:tcPr>
          <w:p w14:paraId="5666453C">
            <w:pPr>
              <w:spacing w:line="360" w:lineRule="auto"/>
              <w:jc w:val="center"/>
              <w:rPr>
                <w:rFonts w:hint="default" w:eastAsia="宋体"/>
                <w:lang w:val="en-US" w:eastAsia="zh-CN"/>
              </w:rPr>
            </w:pPr>
            <w:r>
              <w:rPr>
                <w:rFonts w:hint="eastAsia"/>
                <w:highlight w:val="none"/>
                <w:lang w:val="en-US" w:eastAsia="zh-CN"/>
              </w:rPr>
              <w:t>类别1和类别2</w:t>
            </w:r>
          </w:p>
        </w:tc>
        <w:tc>
          <w:tcPr>
            <w:tcW w:w="7073" w:type="dxa"/>
            <w:vAlign w:val="center"/>
          </w:tcPr>
          <w:p w14:paraId="4BF746A6">
            <w:pPr>
              <w:widowControl/>
              <w:spacing w:line="360" w:lineRule="auto"/>
            </w:pPr>
            <w:r>
              <w:t>不得存在下列情况（信誉最低要求）：</w:t>
            </w:r>
          </w:p>
          <w:p w14:paraId="7BA231B4">
            <w:pPr>
              <w:widowControl/>
              <w:spacing w:line="360" w:lineRule="auto"/>
            </w:pPr>
            <w:r>
              <w:t>1、处于被责令停业、接管或清算、破产状态；</w:t>
            </w:r>
          </w:p>
          <w:p w14:paraId="4A9995BD">
            <w:pPr>
              <w:widowControl/>
              <w:spacing w:line="360" w:lineRule="auto"/>
            </w:pPr>
            <w:r>
              <w:t>2、处于被交通运输部或湖北省交通运输主管部门做出禁止进入公路建设市场的处罚且处于有效期内；</w:t>
            </w:r>
          </w:p>
          <w:p w14:paraId="4EF8B034">
            <w:pPr>
              <w:widowControl/>
              <w:spacing w:line="360" w:lineRule="auto"/>
            </w:pPr>
            <w:r>
              <w:t>3、存在下列不良状况或不良信用记录：</w:t>
            </w:r>
          </w:p>
          <w:p w14:paraId="37F3465C">
            <w:pPr>
              <w:widowControl/>
              <w:spacing w:line="360" w:lineRule="auto"/>
            </w:pPr>
            <w:r>
              <w:t>（1）在国家企业信用信息公示系统（http://www.gsxt.gov.cn/）中被列入严重违法失信企业名单的；</w:t>
            </w:r>
          </w:p>
          <w:p w14:paraId="7CB41DA4">
            <w:pPr>
              <w:widowControl/>
              <w:spacing w:line="360" w:lineRule="auto"/>
            </w:pPr>
            <w:r>
              <w:t>（2）</w:t>
            </w:r>
            <w:r>
              <w:rPr>
                <w:rFonts w:hint="eastAsia"/>
              </w:rPr>
              <w:t>在“中国执行信息公开网”（http://zxgk.court.gov.cn/）中被列入失信被执行人名单</w:t>
            </w:r>
            <w:r>
              <w:t>；</w:t>
            </w:r>
          </w:p>
          <w:p w14:paraId="62B0BD58">
            <w:pPr>
              <w:widowControl/>
              <w:spacing w:line="360" w:lineRule="auto"/>
            </w:pPr>
            <w:r>
              <w:t>（3）申请人或其法定代表人在近三年内有行贿犯罪行为的；</w:t>
            </w:r>
          </w:p>
          <w:p w14:paraId="6AFD1B24">
            <w:pPr>
              <w:widowControl/>
              <w:spacing w:line="360" w:lineRule="auto"/>
              <w:jc w:val="left"/>
            </w:pPr>
            <w:r>
              <w:t>（4）其他在“信用中国”网站（http://www.creditchina.gov.cn/）中被列为</w:t>
            </w:r>
            <w:r>
              <w:rPr>
                <w:rFonts w:hint="eastAsia"/>
              </w:rPr>
              <w:t>严重失信主体名单</w:t>
            </w:r>
            <w:r>
              <w:t>，且按联合惩戒要求禁止参与招投标的；</w:t>
            </w:r>
          </w:p>
          <w:p w14:paraId="08D91B75">
            <w:pPr>
              <w:widowControl/>
              <w:adjustRightInd w:val="0"/>
              <w:snapToGrid w:val="0"/>
              <w:spacing w:line="360" w:lineRule="auto"/>
              <w:rPr>
                <w:szCs w:val="22"/>
                <w:highlight w:val="none"/>
                <w:lang w:bidi="ar"/>
              </w:rPr>
            </w:pPr>
            <w:r>
              <w:rPr>
                <w:szCs w:val="22"/>
                <w:highlight w:val="none"/>
                <w:lang w:bidi="ar"/>
              </w:rPr>
              <w:t>（5）</w:t>
            </w:r>
            <w:r>
              <w:rPr>
                <w:rFonts w:hint="default"/>
                <w:szCs w:val="22"/>
                <w:highlight w:val="none"/>
                <w:lang w:val="en-US" w:eastAsia="zh-CN" w:bidi="ar"/>
              </w:rPr>
              <w:t>上一年度信用评级被交投集团公司或建设集团评为D级且在处罚期内的供应商</w:t>
            </w:r>
            <w:r>
              <w:rPr>
                <w:szCs w:val="22"/>
                <w:highlight w:val="none"/>
                <w:lang w:bidi="ar"/>
              </w:rPr>
              <w:t>；</w:t>
            </w:r>
          </w:p>
          <w:p w14:paraId="2D24A734">
            <w:pPr>
              <w:widowControl/>
              <w:spacing w:line="360" w:lineRule="auto"/>
              <w:jc w:val="left"/>
            </w:pPr>
            <w:r>
              <w:rPr>
                <w:szCs w:val="22"/>
                <w:highlight w:val="none"/>
                <w:lang w:bidi="ar"/>
              </w:rPr>
              <w:t>（6）</w:t>
            </w:r>
            <w:r>
              <w:rPr>
                <w:rFonts w:hint="default"/>
                <w:szCs w:val="22"/>
                <w:highlight w:val="none"/>
                <w:lang w:val="en-US" w:eastAsia="zh-CN" w:bidi="ar"/>
              </w:rPr>
              <w:t>近三年度被列入交投集团公司或建设集团“黑名单”且在处罚期内的供应商</w:t>
            </w:r>
            <w:r>
              <w:rPr>
                <w:szCs w:val="22"/>
                <w:highlight w:val="none"/>
                <w:lang w:bidi="ar"/>
              </w:rPr>
              <w:t>。</w:t>
            </w:r>
          </w:p>
        </w:tc>
      </w:tr>
    </w:tbl>
    <w:p w14:paraId="22965026">
      <w:pPr>
        <w:pStyle w:val="17"/>
        <w:spacing w:line="360" w:lineRule="auto"/>
        <w:rPr>
          <w:rFonts w:eastAsia="黑体"/>
          <w:kern w:val="0"/>
        </w:rPr>
      </w:pPr>
      <w:r>
        <w:rPr>
          <w:rFonts w:hint="eastAsia" w:eastAsia="黑体"/>
          <w:kern w:val="0"/>
        </w:rPr>
        <w:t>注：</w:t>
      </w:r>
      <w:r>
        <w:rPr>
          <w:rFonts w:ascii="Times New Roman" w:hAnsi="Times New Roman" w:eastAsia="黑体"/>
          <w:kern w:val="0"/>
          <w:szCs w:val="21"/>
        </w:rPr>
        <w:t>申请人对以上（1）、（2）、（4）信用状况应附指定网站截图</w:t>
      </w:r>
      <w:r>
        <w:rPr>
          <w:rFonts w:hint="eastAsia" w:eastAsia="黑体"/>
          <w:kern w:val="0"/>
        </w:rPr>
        <w:t>。</w:t>
      </w:r>
    </w:p>
    <w:p w14:paraId="786962B3">
      <w:pPr>
        <w:pStyle w:val="2"/>
        <w:bidi w:val="0"/>
        <w:jc w:val="both"/>
        <w:rPr>
          <w:rFonts w:ascii="Times New Roman" w:eastAsia="黑体" w:cs="Times New Roman"/>
          <w:lang w:val="en-US"/>
        </w:rPr>
        <w:sectPr>
          <w:headerReference r:id="rId5" w:type="default"/>
          <w:footerReference r:id="rId6" w:type="default"/>
          <w:pgSz w:w="11906" w:h="16838"/>
          <w:pgMar w:top="1418" w:right="1418" w:bottom="1418" w:left="1418" w:header="851" w:footer="992" w:gutter="0"/>
          <w:pgNumType w:fmt="decimal"/>
          <w:cols w:space="720" w:num="1"/>
          <w:docGrid w:type="lines" w:linePitch="312" w:charSpace="0"/>
        </w:sectPr>
      </w:pPr>
    </w:p>
    <w:p w14:paraId="5546700F">
      <w:pPr>
        <w:spacing w:line="360" w:lineRule="auto"/>
        <w:jc w:val="left"/>
        <w:outlineLvl w:val="0"/>
        <w:rPr>
          <w:rStyle w:val="15"/>
          <w:rFonts w:hint="eastAsia"/>
          <w:lang w:val="en-US" w:eastAsia="zh-CN"/>
        </w:rPr>
      </w:pPr>
      <w:r>
        <w:rPr>
          <w:rStyle w:val="15"/>
          <w:rFonts w:hint="eastAsia"/>
          <w:lang w:val="en-US" w:eastAsia="zh-CN"/>
        </w:rPr>
        <w:t xml:space="preserve">附件2  </w:t>
      </w:r>
    </w:p>
    <w:p w14:paraId="302FCF35">
      <w:pPr>
        <w:spacing w:line="360" w:lineRule="auto"/>
        <w:jc w:val="center"/>
        <w:rPr>
          <w:rStyle w:val="15"/>
          <w:rFonts w:hint="eastAsia" w:ascii="Times New Roman" w:hAnsi="Times New Roman" w:eastAsia="宋体" w:cs="Times New Roman"/>
          <w:lang w:val="en-US" w:eastAsia="zh-CN"/>
        </w:rPr>
      </w:pPr>
      <w:r>
        <w:rPr>
          <w:rStyle w:val="15"/>
          <w:rFonts w:hint="eastAsia" w:ascii="Times New Roman" w:hAnsi="Times New Roman" w:eastAsia="宋体" w:cs="Times New Roman"/>
          <w:lang w:val="en-US" w:eastAsia="zh-CN"/>
        </w:rPr>
        <w:t>第二阶段采购流程</w:t>
      </w:r>
    </w:p>
    <w:p w14:paraId="10F37ADE">
      <w:pPr>
        <w:bidi w:val="0"/>
        <w:ind w:firstLine="480" w:firstLineChars="20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通过本次采购的供应商可进入远大公司2024-2027年度湖北区域材料运输服务框架协议供应商名单，后续采购人将根据实际采购需求在对应类别入围供应商名单中进行邀请询比采购，并根据各项目采购文件确认中选单位、授予合同。</w:t>
      </w:r>
      <w:r>
        <w:rPr>
          <w:rFonts w:hint="eastAsia" w:ascii="Times New Roman" w:hAnsi="Times New Roman" w:cs="Times New Roman"/>
          <w:b/>
          <w:bCs/>
          <w:lang w:val="en-US" w:eastAsia="zh-CN"/>
        </w:rPr>
        <w:t>未进入远大公司2024-2027年度湖北区域材料运输服务框架协议供应商名单的单位在框架协议有效期内将无被邀请的资格</w:t>
      </w:r>
      <w:r>
        <w:rPr>
          <w:rFonts w:hint="eastAsia" w:ascii="Times New Roman" w:hAnsi="Times New Roman" w:cs="Times New Roman"/>
          <w:b w:val="0"/>
          <w:bCs w:val="0"/>
          <w:lang w:val="en-US" w:eastAsia="zh-CN"/>
        </w:rPr>
        <w:t>。</w:t>
      </w:r>
    </w:p>
    <w:p w14:paraId="42A10D15">
      <w:pPr>
        <w:bidi w:val="0"/>
        <w:ind w:firstLine="482" w:firstLineChars="200"/>
        <w:rPr>
          <w:rFonts w:hint="eastAsia" w:ascii="Times New Roman" w:hAnsi="Times New Roman" w:cs="Times New Roman"/>
          <w:b/>
          <w:bCs/>
          <w:lang w:val="en-US" w:eastAsia="zh-CN"/>
        </w:rPr>
      </w:pPr>
      <w:r>
        <w:rPr>
          <w:rFonts w:hint="eastAsia" w:ascii="Times New Roman" w:hAnsi="Times New Roman" w:cs="Times New Roman"/>
          <w:b/>
          <w:bCs/>
          <w:lang w:val="en-US" w:eastAsia="zh-CN"/>
        </w:rPr>
        <w:t>（一）采购需求</w:t>
      </w:r>
    </w:p>
    <w:p w14:paraId="2403008A">
      <w:pPr>
        <w:bidi w:val="0"/>
        <w:ind w:firstLine="480" w:firstLineChars="200"/>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以后续各项目</w:t>
      </w:r>
      <w:r>
        <w:rPr>
          <w:rFonts w:hint="default" w:ascii="Times New Roman" w:hAnsi="Times New Roman" w:eastAsia="宋体" w:cs="Times New Roman"/>
          <w:b w:val="0"/>
          <w:bCs w:val="0"/>
          <w:lang w:val="en-US" w:eastAsia="zh-CN"/>
        </w:rPr>
        <w:t>实际采购需求</w:t>
      </w:r>
      <w:r>
        <w:rPr>
          <w:rFonts w:hint="eastAsia" w:ascii="Times New Roman" w:hAnsi="Times New Roman" w:eastAsia="宋体" w:cs="Times New Roman"/>
          <w:b w:val="0"/>
          <w:bCs w:val="0"/>
          <w:lang w:val="en-US" w:eastAsia="zh-CN"/>
        </w:rPr>
        <w:t>为准。</w:t>
      </w:r>
    </w:p>
    <w:p w14:paraId="34A41BD5">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82" w:firstLineChars="200"/>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（二）采购方式</w:t>
      </w:r>
    </w:p>
    <w:p w14:paraId="257AAACC">
      <w:pPr>
        <w:bidi w:val="0"/>
        <w:ind w:firstLine="480" w:firstLineChars="20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由远大公司</w:t>
      </w:r>
      <w:r>
        <w:rPr>
          <w:rFonts w:hint="default" w:ascii="Times New Roman" w:hAnsi="Times New Roman" w:eastAsia="宋体" w:cs="Times New Roman"/>
          <w:b w:val="0"/>
          <w:bCs w:val="0"/>
          <w:lang w:val="en-US" w:eastAsia="zh-CN"/>
        </w:rPr>
        <w:t>以</w:t>
      </w:r>
      <w:r>
        <w:rPr>
          <w:rFonts w:hint="eastAsia" w:ascii="Times New Roman" w:hAnsi="Times New Roman" w:eastAsia="宋体" w:cs="Times New Roman"/>
          <w:b w:val="0"/>
          <w:bCs w:val="0"/>
          <w:lang w:val="en-US" w:eastAsia="zh-CN"/>
        </w:rPr>
        <w:t>邀请询比的</w:t>
      </w:r>
      <w:r>
        <w:rPr>
          <w:rFonts w:hint="default" w:ascii="Times New Roman" w:hAnsi="Times New Roman" w:eastAsia="宋体" w:cs="Times New Roman"/>
          <w:b w:val="0"/>
          <w:bCs w:val="0"/>
          <w:lang w:val="en-US" w:eastAsia="zh-CN"/>
        </w:rPr>
        <w:t>方式</w:t>
      </w:r>
      <w:r>
        <w:rPr>
          <w:rFonts w:hint="eastAsia" w:ascii="Times New Roman" w:hAnsi="Times New Roman" w:eastAsia="宋体" w:cs="Times New Roman"/>
          <w:b w:val="0"/>
          <w:bCs w:val="0"/>
          <w:lang w:val="en-US" w:eastAsia="zh-CN"/>
        </w:rPr>
        <w:t>实施采购。</w:t>
      </w:r>
    </w:p>
    <w:p w14:paraId="2FFC8FC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E1569">
    <w:pPr>
      <w:pStyle w:val="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AC99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FDAC99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EDE94">
    <w:pPr>
      <w:pStyle w:val="7"/>
      <w:keepNext w:val="0"/>
      <w:keepLines w:val="0"/>
      <w:pageBreakBefore w:val="0"/>
      <w:widowControl w:val="0"/>
      <w:pBdr>
        <w:bottom w:val="single" w:color="auto" w:sz="4" w:space="1"/>
      </w:pBdr>
      <w:kinsoku/>
      <w:wordWrap/>
      <w:overflowPunct/>
      <w:topLinePunct w:val="0"/>
      <w:bidi w:val="0"/>
      <w:adjustRightInd/>
      <w:snapToGrid w:val="0"/>
      <w:spacing w:line="240" w:lineRule="auto"/>
      <w:jc w:val="left"/>
      <w:textAlignment w:val="auto"/>
    </w:pPr>
    <w:r>
      <w:rPr>
        <w:rFonts w:hint="eastAsia"/>
      </w:rPr>
      <w:t>远大公司</w:t>
    </w:r>
    <w:r>
      <w:rPr>
        <w:rFonts w:hint="eastAsia"/>
        <w:lang w:eastAsia="zh-CN"/>
      </w:rPr>
      <w:t>2024</w:t>
    </w:r>
    <w:r>
      <w:rPr>
        <w:rFonts w:hint="eastAsia"/>
        <w:lang w:val="en-US" w:eastAsia="zh-CN"/>
      </w:rPr>
      <w:t>-2027</w:t>
    </w:r>
    <w:r>
      <w:rPr>
        <w:rFonts w:hint="eastAsia"/>
      </w:rPr>
      <w:t>年度</w:t>
    </w:r>
    <w:r>
      <w:rPr>
        <w:rFonts w:hint="eastAsia"/>
        <w:lang w:val="en-US" w:eastAsia="zh-CN"/>
      </w:rPr>
      <w:t>湖北区域材料运输服务框架协议采购</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lang w:eastAsia="zh-CN"/>
      </w:rPr>
      <w:t>采购</w:t>
    </w:r>
    <w:r>
      <w:rPr>
        <w:rFonts w:hint="eastAsia"/>
      </w:rPr>
      <w:t>文件</w:t>
    </w:r>
  </w:p>
  <w:p w14:paraId="720CBE22">
    <w:pPr>
      <w:pStyle w:val="7"/>
      <w:pBdr>
        <w:bottom w:val="none" w:color="auto" w:sz="0" w:space="0"/>
      </w:pBdr>
    </w:pPr>
    <w:r>
      <w:rPr>
        <w:sz w:val="18"/>
      </w:rPr>
      <w:pict>
        <v:shape id="PowerPlusWaterMarkObject11618" o:spid="_x0000_s4097" o:spt="136" type="#_x0000_t136" style="position:absolute;left:0pt;height:36.2pt;width:82.3pt;mso-position-horizontal:right;mso-position-horizontal-relative:margin;mso-position-vertical:bottom;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第二版"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Yjg0MGU5NTg2ZjRkOTM1MzNhMmQ3OTg4ZjczZGEifQ=="/>
  </w:docVars>
  <w:rsids>
    <w:rsidRoot w:val="5AD86A92"/>
    <w:rsid w:val="1AC01CA8"/>
    <w:rsid w:val="44480394"/>
    <w:rsid w:val="46113938"/>
    <w:rsid w:val="553B57C3"/>
    <w:rsid w:val="5AD8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widowControl/>
      <w:spacing w:line="360" w:lineRule="auto"/>
      <w:jc w:val="center"/>
      <w:outlineLvl w:val="0"/>
    </w:pPr>
    <w:rPr>
      <w:rFonts w:ascii="Times New Roman" w:hAnsi="Times New Roman" w:eastAsia="黑体"/>
      <w:bCs/>
      <w:kern w:val="44"/>
      <w:sz w:val="44"/>
      <w:szCs w:val="44"/>
    </w:rPr>
  </w:style>
  <w:style w:type="paragraph" w:styleId="3">
    <w:name w:val="heading 2"/>
    <w:basedOn w:val="1"/>
    <w:next w:val="1"/>
    <w:link w:val="15"/>
    <w:unhideWhenUsed/>
    <w:qFormat/>
    <w:uiPriority w:val="0"/>
    <w:pPr>
      <w:keepNext/>
      <w:keepLines/>
      <w:spacing w:beforeLines="0" w:beforeAutospacing="0" w:afterLines="0" w:afterAutospacing="0" w:line="360" w:lineRule="auto"/>
      <w:ind w:firstLine="0" w:firstLineChars="0"/>
      <w:outlineLvl w:val="1"/>
    </w:pPr>
    <w:rPr>
      <w:rFonts w:ascii="Times New Roman" w:hAnsi="Times New Roman" w:eastAsia="宋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pPr>
      <w:ind w:left="101"/>
    </w:pPr>
    <w:rPr>
      <w:rFonts w:ascii="宋体" w:hAnsi="宋体" w:cs="宋体"/>
      <w:lang w:val="zh-CN" w:bidi="zh-CN"/>
    </w:rPr>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kern w:val="0"/>
    </w:rPr>
  </w:style>
  <w:style w:type="paragraph" w:styleId="9">
    <w:name w:val="Body Text First Indent"/>
    <w:basedOn w:val="4"/>
    <w:next w:val="10"/>
    <w:qFormat/>
    <w:uiPriority w:val="99"/>
    <w:pPr>
      <w:spacing w:line="360" w:lineRule="auto"/>
      <w:ind w:firstLine="420" w:firstLineChars="100"/>
    </w:pPr>
    <w:rPr>
      <w:rFonts w:hAnsi="Times New Roman"/>
      <w:szCs w:val="21"/>
    </w:rPr>
  </w:style>
  <w:style w:type="paragraph" w:styleId="10">
    <w:name w:val="Body Text First Indent 2"/>
    <w:basedOn w:val="5"/>
    <w:next w:val="9"/>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99"/>
    <w:rPr>
      <w:color w:val="333333"/>
      <w:u w:val="none"/>
    </w:rPr>
  </w:style>
  <w:style w:type="character" w:customStyle="1" w:styleId="15">
    <w:name w:val="标题 2 Char"/>
    <w:link w:val="3"/>
    <w:autoRedefine/>
    <w:qFormat/>
    <w:uiPriority w:val="0"/>
    <w:rPr>
      <w:rFonts w:ascii="Times New Roman" w:hAnsi="Times New Roman" w:eastAsia="宋体"/>
      <w:b/>
      <w:sz w:val="32"/>
    </w:rPr>
  </w:style>
  <w:style w:type="paragraph" w:customStyle="1" w:styleId="16">
    <w:name w:val="无格式"/>
    <w:autoRedefine/>
    <w:qFormat/>
    <w:uiPriority w:val="0"/>
    <w:pPr>
      <w:jc w:val="both"/>
    </w:pPr>
    <w:rPr>
      <w:rFonts w:ascii="宋体" w:hAnsi="宋体" w:eastAsia="宋体" w:cs="宋体"/>
      <w:sz w:val="24"/>
      <w:szCs w:val="22"/>
      <w:lang w:val="en-US" w:eastAsia="zh-CN" w:bidi="ar-SA"/>
    </w:rPr>
  </w:style>
  <w:style w:type="paragraph" w:customStyle="1" w:styleId="1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3131</Words>
  <Characters>3556</Characters>
  <Lines>0</Lines>
  <Paragraphs>0</Paragraphs>
  <TotalTime>2</TotalTime>
  <ScaleCrop>false</ScaleCrop>
  <LinksUpToDate>false</LinksUpToDate>
  <CharactersWithSpaces>3722</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2024-07-03T08:21:00Z</dcterms:created>
  <dc:creator>Mable</dc:creator>
  <cp:lastModifiedBy>Li</cp:lastModifiedBy>
  <dcterms:modified xsi:type="dcterms:W3CDTF">2024-07-03T08:42:33Z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46193D53026A46A6B65EEB10893392A1_13</vt:lpwstr>
  </property>
</Properties>
</file>